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DA" w:rsidRDefault="001A2FDA" w:rsidP="001A2FDA">
      <w:pPr>
        <w:suppressAutoHyphens/>
        <w:spacing w:line="240" w:lineRule="auto"/>
        <w:ind w:firstLine="0"/>
        <w:jc w:val="center"/>
        <w:rPr>
          <w:b/>
        </w:rPr>
      </w:pPr>
      <w:r w:rsidRPr="006E563B">
        <w:rPr>
          <w:b/>
        </w:rPr>
        <w:t xml:space="preserve">Контрольно-счетной палатой </w:t>
      </w:r>
      <w:proofErr w:type="gramStart"/>
      <w:r w:rsidRPr="006E563B">
        <w:rPr>
          <w:b/>
        </w:rPr>
        <w:t>муниципального</w:t>
      </w:r>
      <w:proofErr w:type="gramEnd"/>
    </w:p>
    <w:p w:rsidR="001A2FDA" w:rsidRDefault="001A2FDA" w:rsidP="001A2FDA">
      <w:pPr>
        <w:suppressAutoHyphens/>
        <w:spacing w:line="240" w:lineRule="auto"/>
        <w:ind w:firstLine="0"/>
        <w:jc w:val="center"/>
        <w:rPr>
          <w:b/>
        </w:rPr>
      </w:pPr>
      <w:r w:rsidRPr="006E563B">
        <w:rPr>
          <w:b/>
        </w:rPr>
        <w:t xml:space="preserve"> образования Туапсинский муниципальный округ </w:t>
      </w:r>
    </w:p>
    <w:p w:rsidR="001A2FDA" w:rsidRDefault="001A2FDA" w:rsidP="001A2FDA">
      <w:pPr>
        <w:suppressAutoHyphens/>
        <w:spacing w:line="240" w:lineRule="auto"/>
        <w:ind w:firstLine="0"/>
        <w:jc w:val="center"/>
        <w:rPr>
          <w:b/>
        </w:rPr>
      </w:pPr>
      <w:r w:rsidRPr="006E563B">
        <w:rPr>
          <w:b/>
        </w:rPr>
        <w:t>Краснодарского края проведено контрольное мероприятие</w:t>
      </w:r>
    </w:p>
    <w:p w:rsidR="00654D6F" w:rsidRPr="00654D6F" w:rsidRDefault="00654D6F" w:rsidP="00654D6F">
      <w:pPr>
        <w:spacing w:line="240" w:lineRule="auto"/>
        <w:jc w:val="center"/>
        <w:rPr>
          <w:b/>
        </w:rPr>
      </w:pPr>
      <w:r w:rsidRPr="00654D6F">
        <w:rPr>
          <w:b/>
        </w:rPr>
        <w:t>«Проверка отдельных вопросов финансово-хозяйственной деятельности МКУ «Спасательная служба Туапсинского района» в 2023 году – истекшем периоде 2024 года (выборочно),</w:t>
      </w:r>
    </w:p>
    <w:p w:rsidR="001A2FDA" w:rsidRDefault="00654D6F" w:rsidP="00654D6F">
      <w:pPr>
        <w:spacing w:line="240" w:lineRule="auto"/>
        <w:jc w:val="center"/>
        <w:rPr>
          <w:b/>
          <w:color w:val="000000"/>
          <w:szCs w:val="28"/>
        </w:rPr>
      </w:pPr>
      <w:r w:rsidRPr="00654D6F">
        <w:rPr>
          <w:b/>
        </w:rPr>
        <w:t>в том числе аудит закупок»</w:t>
      </w:r>
    </w:p>
    <w:p w:rsidR="001A2FDA" w:rsidRDefault="001A2FDA" w:rsidP="001A2FDA">
      <w:pPr>
        <w:spacing w:line="240" w:lineRule="auto"/>
        <w:jc w:val="center"/>
        <w:rPr>
          <w:b/>
          <w:color w:val="000000"/>
          <w:szCs w:val="28"/>
        </w:rPr>
      </w:pPr>
    </w:p>
    <w:p w:rsidR="00654D6F" w:rsidRPr="00654D6F" w:rsidRDefault="00654D6F" w:rsidP="00654D6F">
      <w:pPr>
        <w:spacing w:line="240" w:lineRule="auto"/>
        <w:rPr>
          <w:rFonts w:eastAsiaTheme="minorHAnsi"/>
          <w:szCs w:val="28"/>
          <w:lang w:eastAsia="en-US"/>
        </w:rPr>
      </w:pPr>
      <w:r w:rsidRPr="00654D6F">
        <w:rPr>
          <w:rFonts w:eastAsiaTheme="minorHAnsi"/>
          <w:szCs w:val="28"/>
          <w:lang w:eastAsia="en-US"/>
        </w:rPr>
        <w:t>В результате проведенного контрольного мероприятия «Проверка отдельных вопросов финансово-хозяйственной деятельности МКУ «Спасательная служба Туапсинского района», в том числе аудит закупок, установлены следующие нарушения:</w:t>
      </w:r>
    </w:p>
    <w:p w:rsidR="00654D6F" w:rsidRPr="00654D6F" w:rsidRDefault="00654D6F" w:rsidP="00654D6F">
      <w:pPr>
        <w:spacing w:line="240" w:lineRule="auto"/>
        <w:rPr>
          <w:rFonts w:eastAsiaTheme="minorHAnsi"/>
          <w:szCs w:val="28"/>
          <w:lang w:eastAsia="en-US"/>
        </w:rPr>
      </w:pPr>
      <w:r w:rsidRPr="00654D6F">
        <w:rPr>
          <w:rFonts w:eastAsiaTheme="minorHAnsi"/>
          <w:szCs w:val="28"/>
          <w:lang w:eastAsia="en-US"/>
        </w:rPr>
        <w:t>1.</w:t>
      </w:r>
      <w:r w:rsidRPr="00654D6F">
        <w:rPr>
          <w:rFonts w:eastAsiaTheme="minorHAnsi"/>
          <w:b/>
          <w:i/>
          <w:szCs w:val="28"/>
          <w:lang w:eastAsia="en-US"/>
        </w:rPr>
        <w:t xml:space="preserve"> </w:t>
      </w:r>
      <w:proofErr w:type="gramStart"/>
      <w:r w:rsidRPr="00654D6F">
        <w:rPr>
          <w:rFonts w:eastAsiaTheme="minorHAnsi"/>
          <w:szCs w:val="28"/>
          <w:lang w:eastAsia="en-US"/>
        </w:rPr>
        <w:t>В нарушение п.7, п.8 Приказа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учетная политика  учреждения не учитывает отраслевую структуру учреждения, отраслевую особенность учета и списания активов учреждения (ГСМ, запасные части, форменная одежда, сухой паек).</w:t>
      </w:r>
      <w:proofErr w:type="gramEnd"/>
    </w:p>
    <w:p w:rsidR="00654D6F" w:rsidRPr="00654D6F" w:rsidRDefault="00654D6F" w:rsidP="00654D6F">
      <w:pPr>
        <w:spacing w:line="240" w:lineRule="auto"/>
        <w:rPr>
          <w:rFonts w:eastAsiaTheme="minorHAnsi"/>
          <w:szCs w:val="28"/>
          <w:lang w:eastAsia="en-US"/>
        </w:rPr>
      </w:pPr>
      <w:r w:rsidRPr="00654D6F">
        <w:rPr>
          <w:rFonts w:eastAsiaTheme="minorHAnsi"/>
          <w:szCs w:val="28"/>
          <w:lang w:eastAsia="en-US"/>
        </w:rPr>
        <w:t xml:space="preserve"> В нарушение п.1.4, п.1.10  учетной политике учреждения журналы операций регистрации фактов хозяйственной жизни формируются раз в квартал (согласно уч. политике - ежемесячно).</w:t>
      </w:r>
    </w:p>
    <w:p w:rsidR="00654D6F" w:rsidRPr="00654D6F" w:rsidRDefault="00654D6F" w:rsidP="00654D6F">
      <w:pPr>
        <w:spacing w:line="240" w:lineRule="auto"/>
        <w:rPr>
          <w:rFonts w:eastAsiaTheme="minorHAnsi"/>
          <w:b/>
          <w:i/>
          <w:szCs w:val="28"/>
          <w:lang w:eastAsia="en-US"/>
        </w:rPr>
      </w:pPr>
      <w:r w:rsidRPr="00654D6F">
        <w:rPr>
          <w:rFonts w:eastAsiaTheme="minorHAnsi"/>
          <w:szCs w:val="28"/>
          <w:lang w:eastAsia="en-US"/>
        </w:rPr>
        <w:t>2. К проверке не представлен плановый расчет оплаты труда сотрудников в выходные и праздничные дни, расчет оплаты труда  сотрудникам с суммированным учетом рабочего времени за работу в ночное время,  оплата которых предусмотрена ст.112, 153, 154 ТК РФ.</w:t>
      </w:r>
      <w:r w:rsidRPr="00654D6F">
        <w:rPr>
          <w:rFonts w:eastAsiaTheme="minorHAnsi"/>
          <w:b/>
          <w:i/>
          <w:szCs w:val="28"/>
          <w:lang w:eastAsia="en-US"/>
        </w:rPr>
        <w:t xml:space="preserve">  </w:t>
      </w:r>
    </w:p>
    <w:p w:rsidR="00654D6F" w:rsidRPr="00654D6F" w:rsidRDefault="00654D6F" w:rsidP="00654D6F">
      <w:pPr>
        <w:spacing w:line="240" w:lineRule="auto"/>
        <w:rPr>
          <w:rFonts w:eastAsiaTheme="minorHAnsi"/>
          <w:bCs/>
          <w:szCs w:val="28"/>
          <w:lang w:eastAsia="en-US"/>
        </w:rPr>
      </w:pPr>
      <w:r w:rsidRPr="00654D6F">
        <w:rPr>
          <w:rFonts w:eastAsiaTheme="minorHAnsi"/>
          <w:szCs w:val="28"/>
          <w:lang w:eastAsia="en-US"/>
        </w:rPr>
        <w:t>3. Н</w:t>
      </w:r>
      <w:r w:rsidRPr="00654D6F">
        <w:rPr>
          <w:rFonts w:eastAsiaTheme="minorHAnsi"/>
          <w:bCs/>
          <w:szCs w:val="28"/>
          <w:lang w:eastAsia="en-US"/>
        </w:rPr>
        <w:t xml:space="preserve">аименование должности  спасатель-водитель в штатном расписании не соответствует </w:t>
      </w:r>
      <w:proofErr w:type="spellStart"/>
      <w:r w:rsidRPr="00654D6F">
        <w:rPr>
          <w:rFonts w:eastAsiaTheme="minorHAnsi"/>
          <w:bCs/>
          <w:szCs w:val="28"/>
          <w:lang w:eastAsia="en-US"/>
        </w:rPr>
        <w:t>профстандартам</w:t>
      </w:r>
      <w:proofErr w:type="spellEnd"/>
      <w:r w:rsidRPr="00654D6F">
        <w:rPr>
          <w:rFonts w:eastAsiaTheme="minorHAnsi"/>
          <w:bCs/>
          <w:szCs w:val="28"/>
          <w:lang w:eastAsia="en-US"/>
        </w:rPr>
        <w:t xml:space="preserve"> и квалификационным справочникам.</w:t>
      </w:r>
    </w:p>
    <w:p w:rsidR="00654D6F" w:rsidRPr="00654D6F" w:rsidRDefault="00654D6F" w:rsidP="00654D6F">
      <w:pPr>
        <w:spacing w:line="240" w:lineRule="auto"/>
        <w:rPr>
          <w:rFonts w:eastAsiaTheme="minorHAnsi"/>
          <w:bCs/>
          <w:szCs w:val="28"/>
          <w:lang w:eastAsia="en-US"/>
        </w:rPr>
      </w:pPr>
      <w:r w:rsidRPr="00654D6F">
        <w:rPr>
          <w:rFonts w:eastAsiaTheme="minorHAnsi"/>
          <w:bCs/>
          <w:szCs w:val="28"/>
          <w:lang w:eastAsia="en-US"/>
        </w:rPr>
        <w:t xml:space="preserve">4. В нарушение п.1, п.108 Инструкции № 157н порядок учета, движения топливных карт, порядок учета и списания ГСМ, порядок заполнения путевых листов, </w:t>
      </w:r>
      <w:proofErr w:type="gramStart"/>
      <w:r w:rsidRPr="00654D6F">
        <w:rPr>
          <w:rFonts w:eastAsiaTheme="minorHAnsi"/>
          <w:bCs/>
          <w:szCs w:val="28"/>
          <w:lang w:eastAsia="en-US"/>
        </w:rPr>
        <w:t>заказ-нарядов</w:t>
      </w:r>
      <w:proofErr w:type="gramEnd"/>
      <w:r w:rsidRPr="00654D6F">
        <w:rPr>
          <w:rFonts w:eastAsiaTheme="minorHAnsi"/>
          <w:bCs/>
          <w:szCs w:val="28"/>
          <w:lang w:eastAsia="en-US"/>
        </w:rPr>
        <w:t xml:space="preserve"> в локальных нормативных актах, в Учетной политике МКУ  «ССТР» не утверждены.</w:t>
      </w:r>
    </w:p>
    <w:p w:rsidR="00654D6F" w:rsidRPr="00654D6F" w:rsidRDefault="00654D6F" w:rsidP="00654D6F">
      <w:pPr>
        <w:spacing w:line="240" w:lineRule="auto"/>
        <w:rPr>
          <w:rFonts w:eastAsiaTheme="minorHAnsi"/>
          <w:bCs/>
          <w:iCs/>
          <w:szCs w:val="28"/>
          <w:lang w:eastAsia="en-US"/>
        </w:rPr>
      </w:pPr>
      <w:r w:rsidRPr="00654D6F">
        <w:rPr>
          <w:rFonts w:eastAsiaTheme="minorHAnsi"/>
          <w:bCs/>
          <w:szCs w:val="28"/>
          <w:lang w:eastAsia="en-US"/>
        </w:rPr>
        <w:t>5.</w:t>
      </w:r>
      <w:r w:rsidRPr="00654D6F">
        <w:rPr>
          <w:iCs/>
          <w:szCs w:val="28"/>
        </w:rPr>
        <w:t xml:space="preserve"> В нарушение</w:t>
      </w:r>
      <w:r w:rsidRPr="00654D6F">
        <w:rPr>
          <w:rFonts w:eastAsiaTheme="minorHAnsi"/>
          <w:bCs/>
          <w:iCs/>
          <w:szCs w:val="28"/>
          <w:lang w:eastAsia="en-US"/>
        </w:rPr>
        <w:t xml:space="preserve"> </w:t>
      </w:r>
      <w:hyperlink r:id="rId5" w:history="1">
        <w:r w:rsidRPr="00654D6F">
          <w:rPr>
            <w:rFonts w:eastAsiaTheme="minorHAnsi"/>
            <w:bCs/>
            <w:iCs/>
            <w:color w:val="0000FF" w:themeColor="hyperlink"/>
            <w:szCs w:val="28"/>
            <w:u w:val="single"/>
            <w:lang w:eastAsia="en-US"/>
          </w:rPr>
          <w:t>п.119</w:t>
        </w:r>
      </w:hyperlink>
      <w:r w:rsidRPr="00654D6F">
        <w:rPr>
          <w:rFonts w:eastAsiaTheme="minorHAnsi"/>
          <w:bCs/>
          <w:iCs/>
          <w:szCs w:val="28"/>
          <w:lang w:eastAsia="en-US"/>
        </w:rPr>
        <w:t xml:space="preserve"> Инструкции № 157н  аналитический учет по  счету 105 33 не ведется на карточках количественно-суммового учета материальных ценностей по группам (видам), наименованиям, сортам и количеству - в разрезе ответственных лиц, местонахождения (адресов, мест хранения) и правовых оснований поступления (при необходимости) с учетом отраслевых особенностей.</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6. Согласно балансу (сч.101.35) МКУ «ССТР», фактического наличия, Учреждение имеет 8 единиц плавательных средств общей балансовой стоимостью 1 727 378,68 рублей.</w:t>
      </w:r>
      <w:r w:rsidRPr="00654D6F">
        <w:rPr>
          <w:bCs/>
          <w:iCs/>
          <w:szCs w:val="28"/>
        </w:rPr>
        <w:t xml:space="preserve">  </w:t>
      </w:r>
      <w:r w:rsidRPr="00654D6F">
        <w:rPr>
          <w:rFonts w:eastAsiaTheme="minorHAnsi"/>
          <w:bCs/>
          <w:iCs/>
          <w:szCs w:val="28"/>
          <w:lang w:eastAsia="en-US"/>
        </w:rPr>
        <w:t>Всего за весь проверяемый период с учетом холостых запусков лодка моторная «Стрингер-550Р отработала 9 часов, Гидроцикл «Ямаха» 1812 л/</w:t>
      </w:r>
      <w:proofErr w:type="gramStart"/>
      <w:r w:rsidRPr="00654D6F">
        <w:rPr>
          <w:rFonts w:eastAsiaTheme="minorHAnsi"/>
          <w:bCs/>
          <w:iCs/>
          <w:szCs w:val="28"/>
          <w:lang w:eastAsia="en-US"/>
        </w:rPr>
        <w:t>с отработал</w:t>
      </w:r>
      <w:proofErr w:type="gramEnd"/>
      <w:r w:rsidRPr="00654D6F">
        <w:rPr>
          <w:rFonts w:eastAsiaTheme="minorHAnsi"/>
          <w:bCs/>
          <w:iCs/>
          <w:szCs w:val="28"/>
          <w:lang w:eastAsia="en-US"/>
        </w:rPr>
        <w:t xml:space="preserve"> 5,8 часов,  Мотолодка «Казанка» отработала 5 часов (использовалась в 2024 году). Гараж для </w:t>
      </w:r>
      <w:r w:rsidRPr="00654D6F">
        <w:rPr>
          <w:rFonts w:eastAsiaTheme="minorHAnsi"/>
          <w:bCs/>
          <w:iCs/>
          <w:szCs w:val="28"/>
          <w:lang w:eastAsia="en-US"/>
        </w:rPr>
        <w:lastRenderedPageBreak/>
        <w:t>хранения плавательных средств по ул. Гагарина, 39 находится в аварийном состоянии, в связи  с чем, плавательные средства МКУ «ССТР» перемещены  на хранение по адресу: ул. Камо,1. Данный факт затрудняет оперативное реагирование на чрезвычайные ситуации на воде спасателями Аварийно-спасательного отряда, что определено уставными документами Учреждения, положением об Аварийно-спасательном отряде МКУ «ССТР». Однако, Учреждение несет затраты по  содержанию плавательных средств, обслуживанию, уплате налогов. Общая сумма затрат на обслуживание и содержание за 2023 год и 9 месяцев 2024 года составила 784 344,02 рублей.  В нарушение ст.34 Бюджетного кодекса РФ МКУ «ССТР»  неэффективно используется имущество Учреждения и затраты на его содержание на сумму 2 511 722,70 рублей.</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7.</w:t>
      </w:r>
      <w:r w:rsidRPr="00654D6F">
        <w:rPr>
          <w:bCs/>
          <w:i/>
          <w:iCs/>
          <w:szCs w:val="28"/>
        </w:rPr>
        <w:t xml:space="preserve"> </w:t>
      </w:r>
      <w:proofErr w:type="gramStart"/>
      <w:r w:rsidRPr="00654D6F">
        <w:rPr>
          <w:rFonts w:eastAsiaTheme="minorHAnsi"/>
          <w:bCs/>
          <w:iCs/>
          <w:szCs w:val="28"/>
          <w:lang w:eastAsia="en-US"/>
        </w:rPr>
        <w:t>В нарушение п.1, п.6  Приказа Минфина России от 15.04.2021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п.1.9  Учетной политики, Учреждением не использовалась утвержденная данными методическими указаниями форма «Требование-накладная»  по ОКУД 0510451.</w:t>
      </w:r>
      <w:proofErr w:type="gramEnd"/>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Таким образом, применение Учреждением в бухгалтерском учете документальных форм, не утвержденных нормативными документами, повлекло нарушение правил ведения бухгалтерского учета  на сумму </w:t>
      </w:r>
      <w:r>
        <w:rPr>
          <w:rFonts w:eastAsiaTheme="minorHAnsi"/>
          <w:bCs/>
          <w:iCs/>
          <w:szCs w:val="28"/>
          <w:lang w:eastAsia="en-US"/>
        </w:rPr>
        <w:t xml:space="preserve">         </w:t>
      </w:r>
      <w:r w:rsidRPr="00654D6F">
        <w:rPr>
          <w:rFonts w:eastAsiaTheme="minorHAnsi"/>
          <w:bCs/>
          <w:iCs/>
          <w:szCs w:val="28"/>
          <w:lang w:eastAsia="en-US"/>
        </w:rPr>
        <w:t xml:space="preserve">  20 295,00 рублей.        </w:t>
      </w:r>
    </w:p>
    <w:p w:rsid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8. Согласно отчету по ГСМ, израсходованного на аварийно- спасательное оборудование в апреле 2023 года, на заправку бензопилы «Штиль» М</w:t>
      </w:r>
      <w:proofErr w:type="gramStart"/>
      <w:r w:rsidRPr="00654D6F">
        <w:rPr>
          <w:rFonts w:eastAsiaTheme="minorHAnsi"/>
          <w:bCs/>
          <w:iCs/>
          <w:szCs w:val="28"/>
          <w:lang w:val="en-US" w:eastAsia="en-US"/>
        </w:rPr>
        <w:t>S</w:t>
      </w:r>
      <w:proofErr w:type="gramEnd"/>
      <w:r w:rsidRPr="00654D6F">
        <w:rPr>
          <w:rFonts w:eastAsiaTheme="minorHAnsi"/>
          <w:bCs/>
          <w:iCs/>
          <w:szCs w:val="28"/>
          <w:lang w:eastAsia="en-US"/>
        </w:rPr>
        <w:t xml:space="preserve"> 5291, выдано 150 литров бензина,  на заправку  бензопилы «Штиль» М</w:t>
      </w:r>
      <w:r w:rsidRPr="00654D6F">
        <w:rPr>
          <w:rFonts w:eastAsiaTheme="minorHAnsi"/>
          <w:bCs/>
          <w:iCs/>
          <w:szCs w:val="28"/>
          <w:lang w:val="en-US" w:eastAsia="en-US"/>
        </w:rPr>
        <w:t>S</w:t>
      </w:r>
      <w:r w:rsidRPr="00654D6F">
        <w:rPr>
          <w:rFonts w:eastAsiaTheme="minorHAnsi"/>
          <w:bCs/>
          <w:iCs/>
          <w:szCs w:val="28"/>
          <w:lang w:eastAsia="en-US"/>
        </w:rPr>
        <w:t xml:space="preserve"> - 440 литров, на другое бензиновое оборудование  выдано 14 литров бензина. За апрель 2023 года, согласно отчету по ГСМ израсходовано на работу бензинового оборудования  всего 285,951 литров бензина на сумму      13 782,84 рублей (по средней цене списания в апреле - 48,20 рублей),           82,69 литров масла на сумму 46 885,23 рублей (по средней цене списания в апреле - 567,00 руб.). Подтверждающие документы, обосновывающие работу бензинового оборудования в апреле месяце 2023 года, отсутствуют.  Таким образом, необоснованно списанная сумма затрат на ГСМ на бензиновое оборудование в апреле месяце  2023 года составила 60 668,07 рублей</w:t>
      </w:r>
      <w:r>
        <w:rPr>
          <w:rFonts w:eastAsiaTheme="minorHAnsi"/>
          <w:bCs/>
          <w:iCs/>
          <w:szCs w:val="28"/>
          <w:lang w:eastAsia="en-US"/>
        </w:rPr>
        <w:t>.</w:t>
      </w:r>
      <w:r w:rsidRPr="00654D6F">
        <w:rPr>
          <w:rFonts w:eastAsiaTheme="minorHAnsi"/>
          <w:bCs/>
          <w:iCs/>
          <w:szCs w:val="28"/>
          <w:lang w:eastAsia="en-US"/>
        </w:rPr>
        <w:t xml:space="preserve">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Согласно представленной к проверке  </w:t>
      </w:r>
      <w:proofErr w:type="spellStart"/>
      <w:r w:rsidRPr="00654D6F">
        <w:rPr>
          <w:rFonts w:eastAsiaTheme="minorHAnsi"/>
          <w:bCs/>
          <w:iCs/>
          <w:szCs w:val="28"/>
          <w:lang w:eastAsia="en-US"/>
        </w:rPr>
        <w:t>оборотно</w:t>
      </w:r>
      <w:proofErr w:type="spellEnd"/>
      <w:r w:rsidRPr="00654D6F">
        <w:rPr>
          <w:rFonts w:eastAsiaTheme="minorHAnsi"/>
          <w:bCs/>
          <w:iCs/>
          <w:szCs w:val="28"/>
          <w:lang w:eastAsia="en-US"/>
        </w:rPr>
        <w:t xml:space="preserve">-сальдовой ведомости по счету 10533  «Горюче-смазочные материалы» за январь 2023 года, отчету об использовании ГСМ по маломерным судам  на начало 2023 года  остаток бензина по гидроциклу «Ямаха» составлял 615,08 литров. Бак гидроцикла, согласно представленной таблице емкостей баков плавательных средств и дизель генераторов составляет 60 литров. Обоснование, документальное  подтверждение складирования, хранения, заправки 555,08 литров бензина    АИ-92 на сумму  27 476,46 рублей к проверке не представлено. Кроме того, в апреле 2023 года  410 литров на сумму 20 295,00 рублей передано, согласно </w:t>
      </w:r>
      <w:r w:rsidRPr="00654D6F">
        <w:rPr>
          <w:rFonts w:eastAsiaTheme="minorHAnsi"/>
          <w:bCs/>
          <w:iCs/>
          <w:szCs w:val="28"/>
          <w:lang w:eastAsia="en-US"/>
        </w:rPr>
        <w:lastRenderedPageBreak/>
        <w:t>требованию-накладной от 14.04.2023 года начальнику  АСО. Каким образом происходила передача ГСМ, в каких емкостях, в какие  бензиновые инструменты производилась заправка документально не подтверждено. С учетом использования гидроцикла в 2023 году (4 часа), необходимость затрат на приобретение такого количества бензина  является необоснованной. Кроме того, с учетом имеющейся в Учреждении тары (канистры-3шт), отсутствием помещения для хранения топлива в таких объемах (555,08л) фактическое наличие бензина подлежит сомнению. Согласно балансу Учреждения на учете всего числится 3 канистры емкостью 20 литров, 1 канистра для заправки бензиновых инструментов емкостью 6 литров, 1 канистра для моторного масла емкостью 3 литра.  По мнению Контрольно-счетной палаты данные нарушения в бухгалтерском учете влекут за собой возможность хищения ГСМ.</w:t>
      </w:r>
      <w:r w:rsidRPr="00654D6F">
        <w:rPr>
          <w:rFonts w:eastAsiaTheme="minorHAnsi"/>
          <w:bCs/>
          <w:i/>
          <w:iCs/>
          <w:szCs w:val="28"/>
          <w:lang w:eastAsia="en-US"/>
        </w:rPr>
        <w:t xml:space="preserve">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Согласно представленным к проверке транзакциям за 2023 год, выяснить какой автомобиль, оборудование,  были заправлены ГСМ, не представляется возможным, в связи с тем, что в документе отсутствует  наименование и номер автомобиля, в том числе: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 по топливной карте 7826010114397587 - 18.01. 2023 года в 17:52 произведена заправка в </w:t>
      </w:r>
      <w:proofErr w:type="spellStart"/>
      <w:r w:rsidRPr="00654D6F">
        <w:rPr>
          <w:rFonts w:eastAsiaTheme="minorHAnsi"/>
          <w:bCs/>
          <w:iCs/>
          <w:szCs w:val="28"/>
          <w:lang w:eastAsia="en-US"/>
        </w:rPr>
        <w:t>пгт</w:t>
      </w:r>
      <w:proofErr w:type="spellEnd"/>
      <w:r w:rsidRPr="00654D6F">
        <w:rPr>
          <w:rFonts w:eastAsiaTheme="minorHAnsi"/>
          <w:bCs/>
          <w:iCs/>
          <w:szCs w:val="28"/>
          <w:lang w:eastAsia="en-US"/>
        </w:rPr>
        <w:t xml:space="preserve">. Новомихайловский, ул. Мира  в количестве 28,63 литров бензина на сумму 1 379,97 рублей, 19.01.2023 года в 4:24 произведена заправка в </w:t>
      </w:r>
      <w:proofErr w:type="spellStart"/>
      <w:r w:rsidRPr="00654D6F">
        <w:rPr>
          <w:rFonts w:eastAsiaTheme="minorHAnsi"/>
          <w:bCs/>
          <w:iCs/>
          <w:szCs w:val="28"/>
          <w:lang w:eastAsia="en-US"/>
        </w:rPr>
        <w:t>пгт</w:t>
      </w:r>
      <w:proofErr w:type="spellEnd"/>
      <w:r w:rsidRPr="00654D6F">
        <w:rPr>
          <w:rFonts w:eastAsiaTheme="minorHAnsi"/>
          <w:bCs/>
          <w:iCs/>
          <w:szCs w:val="28"/>
          <w:lang w:eastAsia="en-US"/>
        </w:rPr>
        <w:t xml:space="preserve">. Джубга, ш. </w:t>
      </w:r>
      <w:proofErr w:type="gramStart"/>
      <w:r w:rsidRPr="00654D6F">
        <w:rPr>
          <w:rFonts w:eastAsiaTheme="minorHAnsi"/>
          <w:bCs/>
          <w:iCs/>
          <w:szCs w:val="28"/>
          <w:lang w:eastAsia="en-US"/>
        </w:rPr>
        <w:t>Новороссийское</w:t>
      </w:r>
      <w:proofErr w:type="gramEnd"/>
      <w:r w:rsidRPr="00654D6F">
        <w:rPr>
          <w:rFonts w:eastAsiaTheme="minorHAnsi"/>
          <w:bCs/>
          <w:iCs/>
          <w:szCs w:val="28"/>
          <w:lang w:eastAsia="en-US"/>
        </w:rPr>
        <w:t xml:space="preserve"> 21,48 литров бензина на сумму           1 035,34 рублей, 26.01.2023 года в 11:32 произведена заправка 40,00 литров бензина  на сумму 1 928,00 рублей;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по топливной карте 7826010112842238 - 22.09.2023 года в 21:31  произведена заправка бензина  в количестве 30,1 литра на сумму 1 484,29 рублей. Всего поступило бензина  в сентябре 2023 года  по данной карте  250 литров на сумму 12 364,99 рублей;</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по топливной карте 7826010115296671 в сентябре 2023 года всего поступило бензина 109,80 литров на сумму 6 081,21 рублей;</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по топливной карте 7826010115295723 в июне 2023 года всего поступило бензина 84 литра на сумму 4 048,80 рублей.</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Пояснения по данному вопросу Учреждением не представлены.</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Таким образом, необоснованный расход денежных средств (по выбранным транзакциям) на покупку ГСМ в  2023 г</w:t>
      </w:r>
      <w:r>
        <w:rPr>
          <w:rFonts w:eastAsiaTheme="minorHAnsi"/>
          <w:bCs/>
          <w:iCs/>
          <w:szCs w:val="28"/>
          <w:lang w:eastAsia="en-US"/>
        </w:rPr>
        <w:t>оду составил  14 473,32 рублей.</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В проверяемом периоде установлена  заправка ав</w:t>
      </w:r>
      <w:r>
        <w:rPr>
          <w:rFonts w:eastAsiaTheme="minorHAnsi"/>
          <w:bCs/>
          <w:iCs/>
          <w:szCs w:val="28"/>
          <w:lang w:eastAsia="en-US"/>
        </w:rPr>
        <w:t>томобилей по топливным  картам</w:t>
      </w:r>
      <w:r w:rsidRPr="00654D6F">
        <w:rPr>
          <w:rFonts w:eastAsiaTheme="minorHAnsi"/>
          <w:bCs/>
          <w:iCs/>
          <w:szCs w:val="28"/>
          <w:lang w:eastAsia="en-US"/>
        </w:rPr>
        <w:t xml:space="preserve"> Учреждения в объемах, превышающих размер топливного бака автомобиля</w:t>
      </w:r>
      <w:r w:rsidRPr="00654D6F">
        <w:rPr>
          <w:szCs w:val="28"/>
          <w:lang w:eastAsia="en-US"/>
        </w:rPr>
        <w:t xml:space="preserve"> </w:t>
      </w:r>
      <w:r w:rsidRPr="00654D6F">
        <w:rPr>
          <w:rFonts w:eastAsiaTheme="minorHAnsi"/>
          <w:bCs/>
          <w:iCs/>
          <w:szCs w:val="28"/>
          <w:lang w:eastAsia="en-US"/>
        </w:rPr>
        <w:t xml:space="preserve">1 843,16 литров на сумму 72 138,97 рублей. </w:t>
      </w:r>
    </w:p>
    <w:p w:rsidR="00654D6F" w:rsidRPr="00654D6F" w:rsidRDefault="00654D6F" w:rsidP="00654D6F">
      <w:pPr>
        <w:tabs>
          <w:tab w:val="left" w:pos="1276"/>
        </w:tabs>
        <w:spacing w:line="240" w:lineRule="auto"/>
        <w:rPr>
          <w:rFonts w:eastAsiaTheme="minorHAnsi"/>
          <w:bCs/>
          <w:iCs/>
          <w:szCs w:val="28"/>
          <w:lang w:eastAsia="en-US"/>
        </w:rPr>
      </w:pPr>
      <w:r w:rsidRPr="00654D6F">
        <w:rPr>
          <w:rFonts w:eastAsiaTheme="minorHAnsi"/>
          <w:bCs/>
          <w:iCs/>
          <w:szCs w:val="28"/>
          <w:lang w:eastAsia="en-US"/>
        </w:rPr>
        <w:t>9. В Учреждении отсутствуют журнал (другой документ, утвержденный учетной политикой Учреждения) контрольного снятия показаний спидометра   на каждом автомобиле, журнал контрольного снятия остатков (другой документ) ГСМ в баке автомобиля, что влияет на достоверность проведения инвентаризации  имущества, достоверность отчетности Учреждения.</w:t>
      </w:r>
    </w:p>
    <w:p w:rsidR="00654D6F" w:rsidRPr="00654D6F" w:rsidRDefault="00654D6F" w:rsidP="00B65C28">
      <w:pPr>
        <w:tabs>
          <w:tab w:val="left" w:pos="1276"/>
        </w:tabs>
        <w:spacing w:line="240" w:lineRule="auto"/>
        <w:rPr>
          <w:rFonts w:eastAsiaTheme="minorHAnsi"/>
          <w:bCs/>
          <w:iCs/>
          <w:szCs w:val="28"/>
          <w:lang w:eastAsia="en-US"/>
        </w:rPr>
      </w:pPr>
      <w:r w:rsidRPr="00654D6F">
        <w:rPr>
          <w:rFonts w:eastAsiaTheme="minorHAnsi"/>
          <w:bCs/>
          <w:iCs/>
          <w:szCs w:val="28"/>
          <w:lang w:eastAsia="en-US"/>
        </w:rPr>
        <w:lastRenderedPageBreak/>
        <w:t>10. Отсутствует порядок выдачи, регистрации путевых листов, ответственные за заполнение путевых листов, заправочные листы или иной нормативный документ по плавательным средствам, аварийно-спасательному оборудованию.</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11. В нарушение п.9 Закона  РФ от 06.12.2011 года № 402-ФЗ                «О бухгалтерском учете», </w:t>
      </w:r>
      <w:hyperlink r:id="rId6" w:history="1">
        <w:r w:rsidRPr="00654D6F">
          <w:rPr>
            <w:rFonts w:eastAsiaTheme="minorHAnsi"/>
            <w:bCs/>
            <w:iCs/>
            <w:color w:val="0000FF" w:themeColor="hyperlink"/>
            <w:szCs w:val="28"/>
            <w:u w:val="single"/>
            <w:lang w:eastAsia="en-US"/>
          </w:rPr>
          <w:t>п. 27</w:t>
        </w:r>
      </w:hyperlink>
      <w:r w:rsidRPr="00654D6F">
        <w:rPr>
          <w:rFonts w:eastAsiaTheme="minorHAnsi"/>
          <w:bCs/>
          <w:iCs/>
          <w:szCs w:val="28"/>
          <w:lang w:eastAsia="en-US"/>
        </w:rPr>
        <w:t xml:space="preserve"> СГС «Концептуальные основы»,</w:t>
      </w:r>
      <w:r w:rsidRPr="00654D6F">
        <w:rPr>
          <w:rFonts w:eastAsiaTheme="minorHAnsi"/>
          <w:b/>
          <w:bCs/>
          <w:iCs/>
          <w:szCs w:val="28"/>
          <w:lang w:eastAsia="en-US"/>
        </w:rPr>
        <w:t xml:space="preserve"> </w:t>
      </w:r>
      <w:r w:rsidRPr="00654D6F">
        <w:rPr>
          <w:rFonts w:eastAsiaTheme="minorHAnsi"/>
          <w:bCs/>
          <w:iCs/>
          <w:szCs w:val="28"/>
          <w:lang w:eastAsia="en-US"/>
        </w:rPr>
        <w:t>в представленных путевых листах имеет место постоянное исправление показаний спидометра и расхода ГСМ, отсутствует</w:t>
      </w:r>
      <w:r w:rsidRPr="00654D6F">
        <w:rPr>
          <w:rFonts w:eastAsiaTheme="minorHAnsi"/>
          <w:bCs/>
          <w:i/>
          <w:iCs/>
          <w:szCs w:val="28"/>
          <w:lang w:eastAsia="en-US"/>
        </w:rPr>
        <w:t xml:space="preserve"> </w:t>
      </w:r>
      <w:r w:rsidRPr="00654D6F">
        <w:rPr>
          <w:rFonts w:eastAsiaTheme="minorHAnsi"/>
          <w:bCs/>
          <w:iCs/>
          <w:szCs w:val="28"/>
          <w:lang w:eastAsia="en-US"/>
        </w:rPr>
        <w:t>расшифровка подписи лица, исправившего показания спидометра и другие исправления.</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12. Выявлены факты заправки автомобиля  в нерабочее время (по данным  отчетов о транзакциях):</w:t>
      </w:r>
    </w:p>
    <w:p w:rsidR="00654D6F" w:rsidRPr="00654D6F" w:rsidRDefault="00654D6F" w:rsidP="00654D6F">
      <w:pPr>
        <w:spacing w:line="240" w:lineRule="auto"/>
        <w:ind w:firstLine="0"/>
        <w:rPr>
          <w:rFonts w:eastAsiaTheme="minorHAnsi"/>
          <w:bCs/>
          <w:iCs/>
          <w:szCs w:val="28"/>
          <w:lang w:eastAsia="en-US"/>
        </w:rPr>
      </w:pPr>
      <w:r w:rsidRPr="00654D6F">
        <w:rPr>
          <w:szCs w:val="28"/>
          <w:lang w:eastAsia="en-US"/>
        </w:rPr>
        <w:t xml:space="preserve">          </w:t>
      </w:r>
      <w:r w:rsidRPr="00654D6F">
        <w:rPr>
          <w:rFonts w:eastAsiaTheme="minorHAnsi"/>
          <w:bCs/>
          <w:iCs/>
          <w:szCs w:val="28"/>
          <w:lang w:eastAsia="en-US"/>
        </w:rPr>
        <w:t xml:space="preserve">- </w:t>
      </w:r>
      <w:proofErr w:type="gramStart"/>
      <w:r w:rsidRPr="00654D6F">
        <w:rPr>
          <w:rFonts w:eastAsiaTheme="minorHAnsi"/>
          <w:bCs/>
          <w:iCs/>
          <w:szCs w:val="28"/>
          <w:lang w:eastAsia="en-US"/>
        </w:rPr>
        <w:t>п</w:t>
      </w:r>
      <w:proofErr w:type="gramEnd"/>
      <w:r w:rsidRPr="00654D6F">
        <w:rPr>
          <w:rFonts w:eastAsiaTheme="minorHAnsi"/>
          <w:bCs/>
          <w:iCs/>
          <w:szCs w:val="28"/>
          <w:lang w:eastAsia="en-US"/>
        </w:rPr>
        <w:t xml:space="preserve">/л № 035249 от 13.04.2023 года (водитель Крылов А.А), автомобиль «Шевроле-Нива 2123» г/н  Н914НО возвращен в гараж в 17:55, заправка произведена  по времени в 19:36;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 </w:t>
      </w:r>
      <w:proofErr w:type="gramStart"/>
      <w:r w:rsidRPr="00654D6F">
        <w:rPr>
          <w:rFonts w:eastAsiaTheme="minorHAnsi"/>
          <w:bCs/>
          <w:iCs/>
          <w:szCs w:val="28"/>
          <w:lang w:eastAsia="en-US"/>
        </w:rPr>
        <w:t>п</w:t>
      </w:r>
      <w:proofErr w:type="gramEnd"/>
      <w:r w:rsidRPr="00654D6F">
        <w:rPr>
          <w:rFonts w:eastAsiaTheme="minorHAnsi"/>
          <w:bCs/>
          <w:iCs/>
          <w:szCs w:val="28"/>
          <w:lang w:eastAsia="en-US"/>
        </w:rPr>
        <w:t xml:space="preserve">/л 035277 от 24.04.2023 года (водитель Крылов А.А), автомобиль «Шевроле-Нива 2123» г/н Н914НО  возвращен в гараж в 09:10, заправка произведена  по времени в 13:17. Заправка на АЗС отмечена в путевом листе в 09:10;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 </w:t>
      </w:r>
      <w:proofErr w:type="gramStart"/>
      <w:r w:rsidRPr="00654D6F">
        <w:rPr>
          <w:rFonts w:eastAsiaTheme="minorHAnsi"/>
          <w:bCs/>
          <w:iCs/>
          <w:szCs w:val="28"/>
          <w:lang w:eastAsia="en-US"/>
        </w:rPr>
        <w:t>п</w:t>
      </w:r>
      <w:proofErr w:type="gramEnd"/>
      <w:r w:rsidRPr="00654D6F">
        <w:rPr>
          <w:rFonts w:eastAsiaTheme="minorHAnsi"/>
          <w:bCs/>
          <w:iCs/>
          <w:szCs w:val="28"/>
          <w:lang w:eastAsia="en-US"/>
        </w:rPr>
        <w:t xml:space="preserve">/л 035194 от 07.02.2023 года (водитель Крылов А.А), автомобиль «Шевроле-Нива 2123» г/н Н914НО  возвращен в гараж в 12:30, заправка произведена  по времени в 13:17;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 </w:t>
      </w:r>
      <w:proofErr w:type="gramStart"/>
      <w:r w:rsidRPr="00654D6F">
        <w:rPr>
          <w:rFonts w:eastAsiaTheme="minorHAnsi"/>
          <w:bCs/>
          <w:iCs/>
          <w:szCs w:val="28"/>
          <w:lang w:eastAsia="en-US"/>
        </w:rPr>
        <w:t>п</w:t>
      </w:r>
      <w:proofErr w:type="gramEnd"/>
      <w:r w:rsidRPr="00654D6F">
        <w:rPr>
          <w:rFonts w:eastAsiaTheme="minorHAnsi"/>
          <w:bCs/>
          <w:iCs/>
          <w:szCs w:val="28"/>
          <w:lang w:eastAsia="en-US"/>
        </w:rPr>
        <w:t xml:space="preserve">/л 044026 от 05.07.2023 года (водитель Крылов А.А), автомобиль «Шевроле-Нива 2123» г/н Н914НО  возвращен в гараж в 15:30, заправка произведена  по времени в 17:14;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 </w:t>
      </w:r>
      <w:proofErr w:type="gramStart"/>
      <w:r w:rsidRPr="00654D6F">
        <w:rPr>
          <w:rFonts w:eastAsiaTheme="minorHAnsi"/>
          <w:bCs/>
          <w:iCs/>
          <w:szCs w:val="28"/>
          <w:lang w:eastAsia="en-US"/>
        </w:rPr>
        <w:t>п</w:t>
      </w:r>
      <w:proofErr w:type="gramEnd"/>
      <w:r w:rsidRPr="00654D6F">
        <w:rPr>
          <w:rFonts w:eastAsiaTheme="minorHAnsi"/>
          <w:bCs/>
          <w:iCs/>
          <w:szCs w:val="28"/>
          <w:lang w:eastAsia="en-US"/>
        </w:rPr>
        <w:t>/л 044111 от 10.08.2023 года (водитель Крылов А.А), автомобиль «Шевроле-Нива 2123» г/н Н914НО возвращен в гараж в 12:10, заправка произведена  по времени в 16:52.</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13. В нарушение приказа Минфина России от 30.03.2015 года № 52н,  списание ГСМ на работу бензиновых инструментов, спасательного оборудования производится Учреждением  по форме, которая не содержит в соответствие со ст.9 Федерального закона  от 06.12.2011 года № 402-ФЗ «О бухгалтерском учете» обязательных реквизитов.  Согласно ч.3 ст.10 Закона     № 402-ФЗ: «…не допускается ведение счетов бухгалтерского учета вне применяемых экономическим субъектом регистров бухгалтерского учета».</w:t>
      </w:r>
      <w:r w:rsidRPr="00654D6F">
        <w:rPr>
          <w:b/>
          <w:i/>
          <w:szCs w:val="28"/>
          <w:lang w:eastAsia="en-US"/>
        </w:rPr>
        <w:t xml:space="preserve"> </w:t>
      </w:r>
      <w:r w:rsidRPr="00654D6F">
        <w:rPr>
          <w:rFonts w:eastAsiaTheme="minorHAnsi"/>
          <w:bCs/>
          <w:iCs/>
          <w:szCs w:val="28"/>
          <w:lang w:eastAsia="en-US"/>
        </w:rPr>
        <w:t xml:space="preserve">Таким образом, достоверность и обоснованность  представленных первичных учетных документов (отчеты по списанию ГСМ, Заказ-наряд), записи,  произведенные в них, а также отражение фактов хозяйственной жизни (движения ГСМ) в бухгалтерских документах подлежат сомнению.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14. В нарушение  п.1 ст.9, п.2 ст. 10  Федерального закона от  06.12.2011 года  № 402-ФЗ «О бухгалтерском учете»  к бухгалтерскому учету приняты первичные учетные документы (путевые листы), в которых  отражены не  имевшие места факты хозяйственной жизни Учреждения. В соответствие со ст.19 Федерального закона 06.12.2011 года  № 402-ФЗ «О бухгалтерском учете», экономический субъект обязан  осуществлять внутренний контроль совершаемых фактов хозяйственной жизни. В данном </w:t>
      </w:r>
      <w:r w:rsidRPr="00654D6F">
        <w:rPr>
          <w:rFonts w:eastAsiaTheme="minorHAnsi"/>
          <w:bCs/>
          <w:iCs/>
          <w:szCs w:val="28"/>
          <w:lang w:eastAsia="en-US"/>
        </w:rPr>
        <w:lastRenderedPageBreak/>
        <w:t xml:space="preserve">случае внутренний </w:t>
      </w:r>
      <w:proofErr w:type="gramStart"/>
      <w:r w:rsidRPr="00654D6F">
        <w:rPr>
          <w:rFonts w:eastAsiaTheme="minorHAnsi"/>
          <w:bCs/>
          <w:iCs/>
          <w:szCs w:val="28"/>
          <w:lang w:eastAsia="en-US"/>
        </w:rPr>
        <w:t>контроль за</w:t>
      </w:r>
      <w:proofErr w:type="gramEnd"/>
      <w:r w:rsidRPr="00654D6F">
        <w:rPr>
          <w:rFonts w:eastAsiaTheme="minorHAnsi"/>
          <w:bCs/>
          <w:iCs/>
          <w:szCs w:val="28"/>
          <w:lang w:eastAsia="en-US"/>
        </w:rPr>
        <w:t xml:space="preserve"> приобретением и списанием ГСМ в Учреждении не организован.  </w:t>
      </w:r>
    </w:p>
    <w:p w:rsidR="00654D6F" w:rsidRPr="00654D6F" w:rsidRDefault="00654D6F" w:rsidP="00654D6F">
      <w:pPr>
        <w:spacing w:line="240" w:lineRule="auto"/>
        <w:rPr>
          <w:rFonts w:eastAsiaTheme="minorHAnsi"/>
          <w:b/>
          <w:bCs/>
          <w:iCs/>
          <w:szCs w:val="28"/>
          <w:lang w:eastAsia="en-US"/>
        </w:rPr>
      </w:pPr>
      <w:r w:rsidRPr="00654D6F">
        <w:rPr>
          <w:rFonts w:eastAsiaTheme="minorHAnsi"/>
          <w:bCs/>
          <w:iCs/>
          <w:szCs w:val="28"/>
          <w:lang w:eastAsia="en-US"/>
        </w:rPr>
        <w:t xml:space="preserve">15. </w:t>
      </w:r>
      <w:proofErr w:type="gramStart"/>
      <w:r w:rsidRPr="00654D6F">
        <w:rPr>
          <w:rFonts w:eastAsiaTheme="minorHAnsi"/>
          <w:bCs/>
          <w:iCs/>
          <w:szCs w:val="28"/>
          <w:lang w:eastAsia="en-US"/>
        </w:rPr>
        <w:t xml:space="preserve">В нарушение приказа Минфина России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инвентарных карточках отсутствуют  сведения о месте нахождения объекта, сведения об изменении объекта, доукомплектовании, перемещении основного средства.  </w:t>
      </w:r>
      <w:proofErr w:type="gramEnd"/>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16.</w:t>
      </w:r>
      <w:r w:rsidRPr="00654D6F">
        <w:rPr>
          <w:b/>
          <w:i/>
          <w:szCs w:val="28"/>
        </w:rPr>
        <w:t xml:space="preserve"> </w:t>
      </w:r>
      <w:r w:rsidRPr="00654D6F">
        <w:rPr>
          <w:szCs w:val="28"/>
        </w:rPr>
        <w:t>В</w:t>
      </w:r>
      <w:r w:rsidRPr="00654D6F">
        <w:rPr>
          <w:rFonts w:eastAsiaTheme="minorHAnsi"/>
          <w:bCs/>
          <w:iCs/>
          <w:szCs w:val="28"/>
          <w:lang w:eastAsia="en-US"/>
        </w:rPr>
        <w:t xml:space="preserve"> нарушение п.46 Инструкции 157н, п.9  СГС № 257 допущено нарушение порядка учета материальных ценностей, выразившееся в необеспечении нанесения инвентарного номера на объекты имущества на сумму 44 646 744,72 рублей (262 объекта).</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17. При осмотре лодочного гаража, (сарай для хранения катеров и хоз. имущества инв.№ 1011221000065), площадью 176 кв. м балансовой стоимостью 691 560,36 рублей, выявлено, что помещение не отвечает условиям актива. У помещения отсутствует крыша, выпадают кирпичи с фасадной стороны строения, тыльная сторона здания накренилась.  Состояние здания угрожает не  только имуществу Учреждения, но также  сотрудникам и прохожим.  Руководителем Учреждения представлено пояснение (</w:t>
      </w:r>
      <w:proofErr w:type="spellStart"/>
      <w:r w:rsidRPr="00654D6F">
        <w:rPr>
          <w:rFonts w:eastAsiaTheme="minorHAnsi"/>
          <w:bCs/>
          <w:iCs/>
          <w:szCs w:val="28"/>
          <w:lang w:eastAsia="en-US"/>
        </w:rPr>
        <w:t>вх</w:t>
      </w:r>
      <w:proofErr w:type="spellEnd"/>
      <w:r w:rsidRPr="00654D6F">
        <w:rPr>
          <w:rFonts w:eastAsiaTheme="minorHAnsi"/>
          <w:bCs/>
          <w:iCs/>
          <w:szCs w:val="28"/>
          <w:lang w:eastAsia="en-US"/>
        </w:rPr>
        <w:t xml:space="preserve">. № 195 от 16.12.2024г.) с приложением копий обращений к </w:t>
      </w:r>
      <w:r w:rsidR="00B65C28">
        <w:rPr>
          <w:rFonts w:eastAsiaTheme="minorHAnsi"/>
          <w:bCs/>
          <w:iCs/>
          <w:szCs w:val="28"/>
          <w:lang w:eastAsia="en-US"/>
        </w:rPr>
        <w:t>вышестоящему руководству (13л.)</w:t>
      </w:r>
      <w:r w:rsidRPr="00654D6F">
        <w:rPr>
          <w:rFonts w:eastAsiaTheme="minorHAnsi"/>
          <w:bCs/>
          <w:iCs/>
          <w:szCs w:val="28"/>
          <w:lang w:eastAsia="en-US"/>
        </w:rPr>
        <w:t xml:space="preserve"> о возможности ремонта данного помещения, а также заключение по техническому обследованию здания, проведенное в 2023 год</w:t>
      </w:r>
      <w:proofErr w:type="gramStart"/>
      <w:r w:rsidRPr="00654D6F">
        <w:rPr>
          <w:rFonts w:eastAsiaTheme="minorHAnsi"/>
          <w:bCs/>
          <w:iCs/>
          <w:szCs w:val="28"/>
          <w:lang w:eastAsia="en-US"/>
        </w:rPr>
        <w:t>у  ООО</w:t>
      </w:r>
      <w:proofErr w:type="gramEnd"/>
      <w:r w:rsidRPr="00654D6F">
        <w:rPr>
          <w:rFonts w:eastAsiaTheme="minorHAnsi"/>
          <w:bCs/>
          <w:iCs/>
          <w:szCs w:val="28"/>
          <w:lang w:eastAsia="en-US"/>
        </w:rPr>
        <w:t xml:space="preserve"> «ГЛОБАЛ ЭКСПЕРТ», по которому подтверждено аварийное состояние здания.  Однако вопрос и на сегодняшний день не решен.</w:t>
      </w:r>
    </w:p>
    <w:p w:rsidR="00654D6F" w:rsidRPr="00654D6F" w:rsidRDefault="00654D6F" w:rsidP="00654D6F">
      <w:pPr>
        <w:spacing w:line="240" w:lineRule="auto"/>
        <w:rPr>
          <w:rFonts w:eastAsiaTheme="minorHAnsi"/>
          <w:bCs/>
          <w:iCs/>
          <w:szCs w:val="28"/>
          <w:lang w:eastAsia="en-US"/>
        </w:rPr>
      </w:pPr>
      <w:proofErr w:type="gramStart"/>
      <w:r w:rsidRPr="00654D6F">
        <w:rPr>
          <w:rFonts w:eastAsiaTheme="minorHAnsi"/>
          <w:bCs/>
          <w:iCs/>
          <w:szCs w:val="28"/>
          <w:lang w:eastAsia="en-US"/>
        </w:rPr>
        <w:t>При проведении инвентаризации имущества в 2023 году, согласно представленной инвентаризационной описи  № 0000-000032 по состоянию на 25.12.2023 года в гр.17. гр.18 не отмечено, что имущество (сарай для хранения катеров и хоз. имущества инв.№ 1011221000065) не соответствует условиям актива, инвентаризационной комиссией не вынесено решение  о прекращении признания активами объектов (ф.0510440) по результатам инвентаризации.</w:t>
      </w:r>
      <w:proofErr w:type="gramEnd"/>
      <w:r w:rsidRPr="00654D6F">
        <w:rPr>
          <w:rFonts w:eastAsiaTheme="minorHAnsi"/>
          <w:bCs/>
          <w:iCs/>
          <w:szCs w:val="28"/>
          <w:lang w:eastAsia="en-US"/>
        </w:rPr>
        <w:t xml:space="preserve"> Таким же образом в инвентаризационной описи № 0000-000029 по состоянию на 22.12.2023 года 48 объектов (видеокамеры) на сумму 2 607 388,00 рублей в гр. 17, гр.18 не отмечены как объекты, не отвечающие условиям актива</w:t>
      </w:r>
      <w:r w:rsidR="00B65C28">
        <w:rPr>
          <w:rFonts w:eastAsiaTheme="minorHAnsi"/>
          <w:bCs/>
          <w:iCs/>
          <w:szCs w:val="28"/>
          <w:lang w:eastAsia="en-US"/>
        </w:rPr>
        <w:t>.</w:t>
      </w:r>
      <w:r w:rsidRPr="00654D6F">
        <w:rPr>
          <w:rFonts w:eastAsiaTheme="minorHAnsi"/>
          <w:bCs/>
          <w:iCs/>
          <w:szCs w:val="28"/>
          <w:lang w:eastAsia="en-US"/>
        </w:rPr>
        <w:t xml:space="preserve"> Отсутствует решение инвентаризационной комиссии. Видеокамеры находятся на складе учреждения.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 xml:space="preserve">18. </w:t>
      </w:r>
      <w:proofErr w:type="gramStart"/>
      <w:r w:rsidRPr="00654D6F">
        <w:rPr>
          <w:rFonts w:eastAsiaTheme="minorHAnsi"/>
          <w:bCs/>
          <w:iCs/>
          <w:szCs w:val="28"/>
          <w:lang w:eastAsia="en-US"/>
        </w:rPr>
        <w:t xml:space="preserve">В нарушение п. 10 СГС 257н, п.46 Инструкции 157н, согласно представленной  </w:t>
      </w:r>
      <w:proofErr w:type="spellStart"/>
      <w:r w:rsidRPr="00654D6F">
        <w:rPr>
          <w:rFonts w:eastAsiaTheme="minorHAnsi"/>
          <w:bCs/>
          <w:iCs/>
          <w:szCs w:val="28"/>
          <w:lang w:eastAsia="en-US"/>
        </w:rPr>
        <w:t>оборотно</w:t>
      </w:r>
      <w:proofErr w:type="spellEnd"/>
      <w:r w:rsidRPr="00654D6F">
        <w:rPr>
          <w:rFonts w:eastAsiaTheme="minorHAnsi"/>
          <w:bCs/>
          <w:iCs/>
          <w:szCs w:val="28"/>
          <w:lang w:eastAsia="en-US"/>
        </w:rPr>
        <w:t xml:space="preserve">-сальдовой ведомости по состоянию на 01.01.2024 года по счету 10134 «Машины и оборудование - иное движимое имущество учреждения», на учете числятся  отдельные объекты, представляющие собой комплекс конструктивно-сочлененных предметов (30 объектов), а также объекты, в состав которых входят предметы, которые выполняют функции </w:t>
      </w:r>
      <w:r w:rsidRPr="00654D6F">
        <w:rPr>
          <w:rFonts w:eastAsiaTheme="minorHAnsi"/>
          <w:bCs/>
          <w:iCs/>
          <w:szCs w:val="28"/>
          <w:lang w:eastAsia="en-US"/>
        </w:rPr>
        <w:lastRenderedPageBreak/>
        <w:t xml:space="preserve">самостоятельно и  должны  признаваться отдельными инвентарными объектами </w:t>
      </w:r>
      <w:r w:rsidR="00B65C28">
        <w:rPr>
          <w:rFonts w:eastAsiaTheme="minorHAnsi"/>
          <w:bCs/>
          <w:iCs/>
          <w:szCs w:val="28"/>
          <w:lang w:eastAsia="en-US"/>
        </w:rPr>
        <w:t> </w:t>
      </w:r>
      <w:r w:rsidRPr="00654D6F">
        <w:rPr>
          <w:rFonts w:eastAsiaTheme="minorHAnsi"/>
          <w:bCs/>
          <w:iCs/>
          <w:szCs w:val="28"/>
          <w:lang w:eastAsia="en-US"/>
        </w:rPr>
        <w:t>(5</w:t>
      </w:r>
      <w:proofErr w:type="gramEnd"/>
      <w:r w:rsidRPr="00654D6F">
        <w:rPr>
          <w:rFonts w:eastAsiaTheme="minorHAnsi"/>
          <w:bCs/>
          <w:iCs/>
          <w:szCs w:val="28"/>
          <w:lang w:eastAsia="en-US"/>
        </w:rPr>
        <w:t xml:space="preserve"> объектов).</w:t>
      </w:r>
      <w:r w:rsidRPr="00654D6F">
        <w:rPr>
          <w:b/>
          <w:i/>
          <w:szCs w:val="28"/>
        </w:rPr>
        <w:t xml:space="preserve">  </w:t>
      </w:r>
      <w:r w:rsidRPr="00654D6F">
        <w:rPr>
          <w:szCs w:val="28"/>
        </w:rPr>
        <w:t>Н</w:t>
      </w:r>
      <w:r w:rsidRPr="00654D6F">
        <w:rPr>
          <w:rFonts w:eastAsiaTheme="minorHAnsi"/>
          <w:bCs/>
          <w:iCs/>
          <w:szCs w:val="28"/>
          <w:lang w:eastAsia="en-US"/>
        </w:rPr>
        <w:t xml:space="preserve">арушение правил ведения бухгалтерского учета составляет сумму 68 175 204,75 рублей. </w:t>
      </w:r>
    </w:p>
    <w:p w:rsidR="00654D6F" w:rsidRPr="00654D6F" w:rsidRDefault="00654D6F" w:rsidP="00654D6F">
      <w:pPr>
        <w:spacing w:line="240" w:lineRule="auto"/>
        <w:rPr>
          <w:rFonts w:eastAsiaTheme="minorHAnsi"/>
          <w:bCs/>
          <w:iCs/>
          <w:szCs w:val="28"/>
          <w:lang w:eastAsia="en-US"/>
        </w:rPr>
      </w:pPr>
      <w:r w:rsidRPr="00654D6F">
        <w:rPr>
          <w:rFonts w:eastAsiaTheme="minorHAnsi"/>
          <w:bCs/>
          <w:iCs/>
          <w:szCs w:val="28"/>
          <w:lang w:eastAsia="en-US"/>
        </w:rPr>
        <w:t>19.</w:t>
      </w:r>
      <w:r w:rsidRPr="00654D6F">
        <w:rPr>
          <w:rFonts w:eastAsiaTheme="minorHAnsi" w:cstheme="minorBidi"/>
          <w:color w:val="000000"/>
          <w:szCs w:val="28"/>
          <w:lang w:eastAsia="en-US"/>
        </w:rPr>
        <w:t xml:space="preserve"> </w:t>
      </w:r>
      <w:proofErr w:type="gramStart"/>
      <w:r w:rsidRPr="00654D6F">
        <w:rPr>
          <w:rFonts w:eastAsiaTheme="minorHAnsi" w:cstheme="minorBidi"/>
          <w:color w:val="000000"/>
          <w:szCs w:val="28"/>
          <w:lang w:eastAsia="en-US"/>
        </w:rPr>
        <w:t>По результатам контрольного обмера выполненных работ, в рамках исполнения муниципального контракта № 0118300003223000192                       от 13 июня 2023 г. «Капитальный ремонт кровли здания, расположенного по адресу: г. Туапсе, ул. Полетаева, 7» установлено, что не все выборочно по отдельным позициям проверенные, принятые и оплаченные МКУ «ССТР» работы по объекту выполнены подрядчиком в полном объеме.</w:t>
      </w:r>
      <w:proofErr w:type="gramEnd"/>
      <w:r w:rsidRPr="00654D6F">
        <w:rPr>
          <w:rFonts w:eastAsiaTheme="minorHAnsi" w:cstheme="minorBidi"/>
          <w:color w:val="000000"/>
          <w:szCs w:val="28"/>
          <w:lang w:eastAsia="en-US"/>
        </w:rPr>
        <w:t xml:space="preserve"> </w:t>
      </w:r>
      <w:r w:rsidRPr="00654D6F">
        <w:rPr>
          <w:rFonts w:eastAsiaTheme="minorHAnsi" w:cstheme="minorBidi"/>
          <w:szCs w:val="28"/>
          <w:lang w:eastAsia="en-US"/>
        </w:rPr>
        <w:t>Неправомерно приняты и оплачены работы и материалы в объеме 98 754,96 рублей.</w:t>
      </w:r>
    </w:p>
    <w:p w:rsidR="00654D6F" w:rsidRPr="00654D6F" w:rsidRDefault="00654D6F" w:rsidP="00654D6F">
      <w:pPr>
        <w:widowControl w:val="0"/>
        <w:autoSpaceDE w:val="0"/>
        <w:autoSpaceDN w:val="0"/>
        <w:adjustRightInd w:val="0"/>
        <w:spacing w:line="240" w:lineRule="auto"/>
        <w:ind w:firstLine="720"/>
        <w:rPr>
          <w:szCs w:val="28"/>
        </w:rPr>
      </w:pPr>
      <w:r w:rsidRPr="00654D6F">
        <w:rPr>
          <w:bCs/>
          <w:iCs/>
          <w:szCs w:val="28"/>
        </w:rPr>
        <w:t>20.</w:t>
      </w:r>
      <w:r w:rsidRPr="00654D6F">
        <w:rPr>
          <w:szCs w:val="28"/>
        </w:rPr>
        <w:t xml:space="preserve"> В нарушение ч.6 ст.38 44-ФЗ при назначении на должность </w:t>
      </w:r>
      <w:r w:rsidR="00B65C28">
        <w:rPr>
          <w:szCs w:val="28"/>
        </w:rPr>
        <w:t xml:space="preserve"> у </w:t>
      </w:r>
      <w:r w:rsidRPr="00654D6F">
        <w:rPr>
          <w:szCs w:val="28"/>
        </w:rPr>
        <w:t xml:space="preserve">контрактного управляющего отсутствовало высшее образование или дополнительное профессиональное образование в сфере закупок, таким образом, был нарушен порядок формирования контрактной службы (назначения контрактного управляющего).  </w:t>
      </w:r>
    </w:p>
    <w:p w:rsidR="00654D6F" w:rsidRPr="00654D6F" w:rsidRDefault="00654D6F" w:rsidP="00654D6F">
      <w:pPr>
        <w:spacing w:line="240" w:lineRule="auto"/>
        <w:rPr>
          <w:rFonts w:eastAsiaTheme="minorHAnsi"/>
          <w:szCs w:val="28"/>
          <w:lang w:eastAsia="en-US"/>
        </w:rPr>
      </w:pPr>
      <w:r w:rsidRPr="00654D6F">
        <w:rPr>
          <w:rFonts w:eastAsiaTheme="minorHAnsi"/>
          <w:szCs w:val="28"/>
          <w:lang w:eastAsia="en-US"/>
        </w:rPr>
        <w:t>Кроме того предоставлена должностная инструкция контрактного управляющего №5 от 01.04.2016 г. Указанная должностная инструкция не соответствует ч.4 ст.38 44-ФЗ.</w:t>
      </w:r>
    </w:p>
    <w:p w:rsidR="001A2FDA" w:rsidRPr="006E563B" w:rsidRDefault="00B65C28" w:rsidP="001A2FDA">
      <w:pPr>
        <w:pStyle w:val="a3"/>
        <w:spacing w:before="20" w:line="247" w:lineRule="auto"/>
        <w:ind w:left="0" w:right="65" w:firstLine="709"/>
        <w:jc w:val="both"/>
        <w:rPr>
          <w:sz w:val="28"/>
          <w:szCs w:val="28"/>
        </w:rPr>
      </w:pPr>
      <w:bookmarkStart w:id="0" w:name="_GoBack"/>
      <w:bookmarkEnd w:id="0"/>
      <w:r w:rsidRPr="00B65C28">
        <w:rPr>
          <w:sz w:val="28"/>
          <w:szCs w:val="28"/>
        </w:rPr>
        <w:t>21</w:t>
      </w:r>
      <w:r w:rsidR="001A2FDA" w:rsidRPr="00B65C28">
        <w:rPr>
          <w:sz w:val="28"/>
          <w:szCs w:val="28"/>
        </w:rPr>
        <w:t>.</w:t>
      </w:r>
      <w:r w:rsidR="001A2FDA" w:rsidRPr="001A2FDA">
        <w:rPr>
          <w:rFonts w:eastAsia="Calibri"/>
          <w:szCs w:val="28"/>
          <w:lang w:eastAsia="en-US"/>
        </w:rPr>
        <w:t xml:space="preserve"> </w:t>
      </w:r>
      <w:r w:rsidR="001A2FDA" w:rsidRPr="006E563B">
        <w:rPr>
          <w:rFonts w:eastAsia="Calibri"/>
          <w:sz w:val="28"/>
          <w:szCs w:val="28"/>
          <w:lang w:eastAsia="en-US"/>
        </w:rPr>
        <w:t xml:space="preserve">В соответствии с </w:t>
      </w:r>
      <w:r w:rsidR="001A2FDA" w:rsidRPr="006E563B">
        <w:rPr>
          <w:sz w:val="28"/>
          <w:szCs w:val="28"/>
        </w:rPr>
        <w:t>п.9 ч.2 ст. 9 Федерального закона Российской Федерации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отчет о результатах проверки</w:t>
      </w:r>
      <w:r w:rsidR="001A2FDA">
        <w:rPr>
          <w:sz w:val="28"/>
          <w:szCs w:val="28"/>
        </w:rPr>
        <w:t xml:space="preserve"> направлен</w:t>
      </w:r>
      <w:r w:rsidR="001A2FDA" w:rsidRPr="006E563B">
        <w:rPr>
          <w:sz w:val="28"/>
          <w:szCs w:val="28"/>
        </w:rPr>
        <w:t>:</w:t>
      </w:r>
    </w:p>
    <w:p w:rsidR="001A2FDA" w:rsidRPr="006E563B" w:rsidRDefault="001A2FDA" w:rsidP="001A2FDA">
      <w:pPr>
        <w:tabs>
          <w:tab w:val="left" w:pos="2086"/>
        </w:tabs>
        <w:spacing w:line="247" w:lineRule="auto"/>
        <w:rPr>
          <w:szCs w:val="28"/>
        </w:rPr>
      </w:pPr>
      <w:r w:rsidRPr="006E563B">
        <w:rPr>
          <w:szCs w:val="28"/>
        </w:rPr>
        <w:t>председателю Совета муниципального образования Туапсинский муниципальный округ Краснодарского края;</w:t>
      </w:r>
    </w:p>
    <w:p w:rsidR="001A2FDA" w:rsidRPr="006E563B" w:rsidRDefault="001A2FDA" w:rsidP="001A2FDA">
      <w:pPr>
        <w:tabs>
          <w:tab w:val="left" w:pos="2086"/>
        </w:tabs>
        <w:spacing w:line="247" w:lineRule="auto"/>
        <w:rPr>
          <w:szCs w:val="28"/>
        </w:rPr>
      </w:pPr>
      <w:r w:rsidRPr="006E563B">
        <w:rPr>
          <w:szCs w:val="28"/>
        </w:rPr>
        <w:t>главе Туапсинского муниципального округа.</w:t>
      </w:r>
    </w:p>
    <w:p w:rsidR="001A2FDA" w:rsidRPr="001A2FDA" w:rsidRDefault="001A2FDA" w:rsidP="001A2FDA">
      <w:pPr>
        <w:autoSpaceDE w:val="0"/>
        <w:autoSpaceDN w:val="0"/>
        <w:adjustRightInd w:val="0"/>
        <w:spacing w:line="240" w:lineRule="auto"/>
        <w:outlineLvl w:val="1"/>
        <w:rPr>
          <w:szCs w:val="28"/>
        </w:rPr>
      </w:pPr>
    </w:p>
    <w:p w:rsidR="001A2FDA" w:rsidRPr="001A2FDA" w:rsidRDefault="001A2FDA" w:rsidP="001A2FDA">
      <w:pPr>
        <w:autoSpaceDE w:val="0"/>
        <w:autoSpaceDN w:val="0"/>
        <w:adjustRightInd w:val="0"/>
        <w:spacing w:line="240" w:lineRule="auto"/>
        <w:outlineLvl w:val="1"/>
        <w:rPr>
          <w:b/>
          <w:i/>
          <w:szCs w:val="28"/>
        </w:rPr>
      </w:pPr>
    </w:p>
    <w:p w:rsidR="001A2FDA" w:rsidRDefault="001A2FDA" w:rsidP="001A2FDA">
      <w:pPr>
        <w:spacing w:line="240" w:lineRule="auto"/>
        <w:jc w:val="center"/>
        <w:rPr>
          <w:b/>
          <w:color w:val="000000"/>
          <w:szCs w:val="28"/>
        </w:rPr>
      </w:pPr>
    </w:p>
    <w:p w:rsidR="00FE5B8D" w:rsidRDefault="00FE5B8D"/>
    <w:sectPr w:rsidR="00FE5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3C"/>
    <w:rsid w:val="001A2FDA"/>
    <w:rsid w:val="00654D6F"/>
    <w:rsid w:val="0090203C"/>
    <w:rsid w:val="00B65C28"/>
    <w:rsid w:val="00FE5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DA"/>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2FDA"/>
    <w:pPr>
      <w:spacing w:line="240" w:lineRule="auto"/>
      <w:ind w:left="720" w:firstLine="0"/>
      <w:contextualSpacing/>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DA"/>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2FDA"/>
    <w:pPr>
      <w:spacing w:line="240" w:lineRule="auto"/>
      <w:ind w:left="720" w:firstLine="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60116&amp;dst=100085" TargetMode="External"/><Relationship Id="rId5" Type="http://schemas.openxmlformats.org/officeDocument/2006/relationships/hyperlink" Target="https://login.consultant.ru/link/?req=doc&amp;base=RZB&amp;n=450185&amp;dst=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2025-07-09T09:28:00Z</dcterms:created>
  <dcterms:modified xsi:type="dcterms:W3CDTF">2025-07-09T09:28:00Z</dcterms:modified>
</cp:coreProperties>
</file>